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附件5：</w:t>
      </w:r>
    </w:p>
    <w:bookmarkEnd w:id="0"/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保险办理说明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为落实《社会保障法》、《社会保险费征缴条例》等相关法律法规，哈尔滨市医疗保障局方便在校大学生就近医疗，将在校大学生纳入城乡居民医疗保险保障范畴，并按照哈尔滨市城乡居民基本医疗保险规定缴费，享受政府补贴及相应待遇，确保在校新生无遗漏享受哈尔滨城乡居民基本医疗保险、学生补充医疗保险待遇。本着应保尽保，规避疾病门诊、疾病住院、意外门诊、意外伤残、意外死亡等风险的总体工作目标。由政府统筹组织实施，中国人寿哈尔滨分公司具体经办，采取网络投保方式面向2020年入学新生办理《哈尔滨市城乡居民基本医疗保险》、《哈尔滨市大、中、小学生补充医疗保险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both"/>
        <w:textAlignment w:val="auto"/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一、缴费标准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基本医疗保险费每年每人850元，其中国家财政补贴每人每年550元，大学生每人每年缴纳300元，一年一缴费，入学时缴纳一年保费300元。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补充医疗保险和意外伤害保险每人每年200元，入学时一次性缴纳四年保费800元。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both"/>
        <w:textAlignment w:val="auto"/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二、待遇期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大学生参加的哈尔滨市城乡居民基本医疗保险及补充医疗保险，新生入学当年9月份至12月份收集相关信息并缴费后，次年1月至12月份享受哈尔滨市城乡居民基本医疗保险及补充医疗保险待遇。未在黑龙江省参加过城乡居民基本医疗保险的新生待遇期提前至9月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both"/>
        <w:textAlignment w:val="auto"/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保险责任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/>
        <w:jc w:val="both"/>
        <w:textAlignment w:val="auto"/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（一）住院医疗待遇</w:t>
      </w:r>
    </w:p>
    <w:tbl>
      <w:tblPr>
        <w:tblStyle w:val="2"/>
        <w:tblW w:w="829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195"/>
        <w:gridCol w:w="1035"/>
        <w:gridCol w:w="2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就医类别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住院起付标准（元)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起付标准以上至最高支付限额以下统筹基金支付比例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哈市定点医院就医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定点社区医疗机构、乡镇卫生院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一级定点医院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240</w:t>
            </w:r>
          </w:p>
        </w:tc>
        <w:tc>
          <w:tcPr>
            <w:tcW w:w="2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二级定点医院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480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三级定点医院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720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精神疾病患者在专科定点医院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肺结核患者在专科定点医院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耐多药肺结核患者在专科定点医院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其他传染病患者在传染病专科定点医院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非定点医院、异地就医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急诊、转诊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其他情形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1500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9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注：1、参保居民在哈医大一院、医大二院、医大四院和黑龙江省医院住院就医，统筹基金支付比例下     浮3个百分点。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29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2、参保居民一个年度内第二次住院起付标准降低10%，多次住院的执行第2次住院起付标准。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29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3、参保居民中低保等困难人员（不含建档立卡贫困人口）在一级医院、社区卫生服务机构和乡镇卫生院住院，免收住院起付金，支付比例85%，社区卫生服务机构和乡镇卫生院统筹基金支付比例为95%.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29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4、建档立卡贫困人口在一级医院、社区卫生服务机构和乡镇卫生院住院，免收住院起付金，统筹基金支付95%。</w:t>
            </w:r>
          </w:p>
        </w:tc>
      </w:tr>
    </w:tbl>
    <w:p>
      <w:pPr>
        <w:numPr>
          <w:ilvl w:val="0"/>
          <w:numId w:val="0"/>
        </w:numPr>
        <w:ind w:left="420" w:leftChars="0"/>
        <w:jc w:val="both"/>
        <w:textAlignment w:val="baseline"/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（二）特殊疾病门诊统筹基金支付标准</w:t>
      </w:r>
    </w:p>
    <w:tbl>
      <w:tblPr>
        <w:tblStyle w:val="2"/>
        <w:tblW w:w="8237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777"/>
        <w:gridCol w:w="1292"/>
        <w:gridCol w:w="1292"/>
        <w:gridCol w:w="1292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特殊疾病病种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统筹基金支付项目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社区医疗机构、乡镇卫生院统筹基金支付标准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一级医院统筹基金支付标准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二级医院统筹基金支付标准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三级医院统筹基金支付标准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恶性肿瘤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放疗、化疗、免疫治疗、抗疼痛治疗、特殊用药治疗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尿毒症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血液透析组套（元/次）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限价400元，</w:t>
            </w:r>
          </w:p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支付380元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限价440元，</w:t>
            </w:r>
          </w:p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支付400元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血液透析滤过、灌流（元/次）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限价700元，</w:t>
            </w:r>
          </w:p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支付560元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限价800元，</w:t>
            </w:r>
          </w:p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支付640元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腹膜透析组套（元/日）</w:t>
            </w:r>
          </w:p>
        </w:tc>
        <w:tc>
          <w:tcPr>
            <w:tcW w:w="5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定额标准160元，支付144元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1" w:hRule="atLeast"/>
        </w:trPr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血友病、再生障碍性贫血、系统性红斑狼疮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肝、肾、肺、心脏移植术后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抗排异治疗</w:t>
            </w:r>
          </w:p>
        </w:tc>
        <w:tc>
          <w:tcPr>
            <w:tcW w:w="5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4" w:hRule="atLeast"/>
        </w:trPr>
        <w:tc>
          <w:tcPr>
            <w:tcW w:w="12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年度最高支付限额：术后2年以内6.3万元；2年以上4.9万元。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苯丙酮尿症（限0-18周岁（含18周岁））</w:t>
            </w:r>
          </w:p>
        </w:tc>
        <w:tc>
          <w:tcPr>
            <w:tcW w:w="5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numPr>
                <w:ilvl w:val="0"/>
                <w:numId w:val="0"/>
              </w:numPr>
              <w:ind w:firstLine="540" w:firstLineChars="300"/>
              <w:jc w:val="center"/>
              <w:textAlignment w:val="bottom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年度最高限额1.4万元，支付比例为70%</w:t>
            </w:r>
          </w:p>
        </w:tc>
      </w:tr>
    </w:tbl>
    <w:p>
      <w:pPr>
        <w:numPr>
          <w:ilvl w:val="0"/>
          <w:numId w:val="0"/>
        </w:numPr>
        <w:ind w:left="602" w:leftChars="0"/>
        <w:jc w:val="both"/>
        <w:textAlignment w:val="baseline"/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（三）特殊慢性病门诊待遇</w:t>
      </w:r>
    </w:p>
    <w:tbl>
      <w:tblPr>
        <w:tblStyle w:val="2"/>
        <w:tblW w:w="8218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2054"/>
        <w:gridCol w:w="2054"/>
        <w:gridCol w:w="2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病种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统筹基金起付标准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统筹基金支付比例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一个年度内，统筹基金最高支付限额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Ⅰ类病种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300元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1000元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Ⅱ类病种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300元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1200元</w:t>
            </w:r>
          </w:p>
        </w:tc>
      </w:tr>
    </w:tbl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line="520" w:lineRule="exact"/>
        <w:ind w:left="420" w:leftChars="0" w:firstLine="241" w:firstLineChars="100"/>
        <w:jc w:val="both"/>
        <w:textAlignment w:val="auto"/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（四）普通门诊待遇</w:t>
      </w:r>
    </w:p>
    <w:tbl>
      <w:tblPr>
        <w:tblStyle w:val="2"/>
        <w:tblW w:w="8458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4"/>
        <w:gridCol w:w="2114"/>
        <w:gridCol w:w="2114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统筹基金支付比例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一个年度内，统筹基金最高支付限额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肺结核门诊定点医院统筹基金支付比例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一个年度内，统筹基金最高支付限额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70%（建档立卡贫困人口95%）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360元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70%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1200</w:t>
            </w:r>
          </w:p>
        </w:tc>
      </w:tr>
    </w:tbl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line="520" w:lineRule="exact"/>
        <w:ind w:left="420" w:leftChars="0" w:firstLine="241" w:firstLineChars="100"/>
        <w:jc w:val="both"/>
        <w:textAlignment w:val="auto"/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（五）补充医疗保险待遇</w:t>
      </w:r>
    </w:p>
    <w:tbl>
      <w:tblPr>
        <w:tblStyle w:val="2"/>
        <w:tblW w:w="841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2025"/>
        <w:gridCol w:w="4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保障项目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支付限额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保障细则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身故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10万元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因意外伤害或疾病(初次投保30天后)身故。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残疾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10万元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按条款规定等级比例给付。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意外医疗门诊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5千元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因意外伤害在二级以上医院门诊治疗，统筹金支付范围内100%比例给付。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住院医疗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8万元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意外伤害住院</w:t>
            </w: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基本医保己报，统筹金支付范围内未报部分再按100%比例给付；未报基本医保，统筹金支付范围内按90%比例给付。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疾病住院</w:t>
            </w: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基本医保己报，统筹金支付范围内未报部分再按70%比例给付；未报基本医保，统筹金支付范围内按60%比例给付。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住院津贴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50元/天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/>
              </w:rPr>
              <w:t>因意外伤害或疾病(初次投保30天后)住院治疗的，每天补贴50元，一年最高补贴180天。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both"/>
        <w:textAlignment w:val="auto"/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四、参保流程：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1.关注公众号“中国人寿股份哈尔滨分公司”或搜索“chinalife_haerbin”—“进入公众号”—“微保险”—“学生保险”—选择登陆身份(大学生)；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2.完善学生信息(学生未满18周岁的系统提示填写监护人家长信息)，输入学生本人身份证号码点击匹配，个人基本信息自动弹出，未匹配出来的自行添加。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3.保险缴费，分别点击下方“基本医疗保险”和“补充医疗保险”，进入保险缴费界面；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4.点击“查看详情”可阅读保险介绍，点击“可购买”，点击右上角闪动图标变为绿色，点击“己阅读并同意保险须知”前的圆圈，进入阅读保险须知，点击最下方“己阅读”返回“确认订单”界面；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5.点击立即支付即可缴费，基本医疗缴费完毕后进行补充医疗缴费，两项缴费完毕后可在“我的订单”处查询缴费记录及保险情况。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基本医疗保险是学生基本的医疗保障需求，补充医疗保险是基本医疗的全面补充，包括意外伤害的门诊住院和疾病住院的二次报销及住院津贴。请关注公众号了解更多详情。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社保服务电话：0451-12333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中国人寿服务咨询电话：0451-84888329</w:t>
      </w:r>
    </w:p>
    <w:p>
      <w:pPr>
        <w:spacing w:line="360" w:lineRule="auto"/>
        <w:jc w:val="center"/>
        <w:textAlignment w:val="baseline"/>
        <w:rPr>
          <w:rStyle w:val="4"/>
          <w:rFonts w:ascii="宋体" w:hAnsi="宋体" w:eastAsia="宋体"/>
          <w:b/>
          <w:kern w:val="2"/>
          <w:sz w:val="36"/>
          <w:szCs w:val="36"/>
          <w:lang w:val="en-US" w:eastAsia="zh-CN" w:bidi="ar-SA"/>
        </w:rPr>
      </w:pPr>
      <w:r>
        <w:rPr>
          <w:rStyle w:val="4"/>
          <w:rFonts w:ascii="宋体" w:hAnsi="宋体" w:eastAsia="宋体"/>
          <w:b/>
          <w:kern w:val="2"/>
          <w:sz w:val="36"/>
          <w:szCs w:val="36"/>
          <w:lang w:val="en-US" w:eastAsia="zh-CN" w:bidi="ar-SA"/>
        </w:rPr>
        <w:drawing>
          <wp:inline distT="0" distB="0" distL="114300" distR="114300">
            <wp:extent cx="1685925" cy="1504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textAlignment w:val="baseline"/>
        <w:rPr>
          <w:rStyle w:val="4"/>
          <w:rFonts w:ascii="Calibri" w:hAnsi="Calibri" w:eastAsia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Calibri" w:hAnsi="Calibri" w:eastAsia="宋体"/>
          <w:kern w:val="2"/>
          <w:sz w:val="24"/>
          <w:szCs w:val="24"/>
          <w:lang w:val="en-US" w:eastAsia="zh-CN" w:bidi="ar-SA"/>
        </w:rPr>
        <w:t>中国人寿公众号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846481"/>
    <w:multiLevelType w:val="singleLevel"/>
    <w:tmpl w:val="DF846481"/>
    <w:lvl w:ilvl="0" w:tentative="0">
      <w:start w:val="3"/>
      <w:numFmt w:val="chineseCounting"/>
      <w:suff w:val="nothing"/>
      <w:lvlText w:val="%1、"/>
      <w:lvlJc w:val="left"/>
      <w:pPr>
        <w:widowControl/>
        <w:textAlignment w:val="baseline"/>
      </w:pPr>
      <w:rPr>
        <w:rStyle w:val="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53B55"/>
    <w:rsid w:val="0A20764A"/>
    <w:rsid w:val="136E6EF4"/>
    <w:rsid w:val="23434288"/>
    <w:rsid w:val="3B236B1D"/>
    <w:rsid w:val="4184586E"/>
    <w:rsid w:val="41BA1713"/>
    <w:rsid w:val="44D746C0"/>
    <w:rsid w:val="65F3571B"/>
    <w:rsid w:val="70394246"/>
    <w:rsid w:val="721836B5"/>
    <w:rsid w:val="7BCC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5">
    <w:name w:val="UserStyle_1"/>
    <w:basedOn w:val="4"/>
    <w:link w:val="1"/>
    <w:qFormat/>
    <w:uiPriority w:val="0"/>
    <w:rPr>
      <w:rFonts w:ascii="宋体" w:hAnsi="宋体" w:eastAsia="宋体"/>
      <w:color w:val="000000"/>
      <w:sz w:val="20"/>
      <w:szCs w:val="20"/>
    </w:rPr>
  </w:style>
  <w:style w:type="character" w:customStyle="1" w:styleId="6">
    <w:name w:val="UserStyle_0"/>
    <w:basedOn w:val="4"/>
    <w:link w:val="1"/>
    <w:qFormat/>
    <w:uiPriority w:val="0"/>
    <w:rPr>
      <w:rFonts w:ascii="宋体" w:hAnsi="宋体" w:eastAsia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2020-09-06T16:33:00Z</dcterms:created>
  <dc:creator>lenovo</dc:creator>
  <cp:lastModifiedBy>宋岩</cp:lastModifiedBy>
  <dcterms:modified xsi:type="dcterms:W3CDTF">2020-09-09T05:44:57Z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