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both"/>
        <w:rPr>
          <w:rFonts w:hint="eastAsia" w:ascii="仿宋" w:hAnsi="仿宋" w:eastAsia="仿宋" w:cs="仿宋"/>
          <w:b/>
          <w:bCs/>
          <w:sz w:val="32"/>
          <w:szCs w:val="32"/>
        </w:rPr>
      </w:pPr>
      <w:r>
        <w:rPr>
          <w:rFonts w:hint="eastAsia" w:ascii="仿宋" w:hAnsi="仿宋" w:eastAsia="仿宋" w:cs="仿宋"/>
          <w:b/>
          <w:bCs/>
          <w:sz w:val="32"/>
          <w:szCs w:val="32"/>
          <w:lang w:eastAsia="zh-CN"/>
        </w:rPr>
        <w:t>附件：</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网上确认需上传的材料及标准</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一）本人近期正面、免冠、无妆、无修、彩色电子证件照。宽高比例3:4；坐姿端正，双眼自然睁开并平视，耳朵对称，左右肩膀平衡，头部和肩部要端正且不能过大或过小，需占整个照片的比例为2/3。考生上传照片为准考证使用照片。电子版JPG格式，照片大小5M以内，</w:t>
      </w:r>
      <w:r>
        <w:rPr>
          <w:rFonts w:hint="eastAsia" w:ascii="仿宋" w:hAnsi="仿宋" w:eastAsia="仿宋" w:cs="仿宋"/>
          <w:b/>
          <w:bCs/>
          <w:sz w:val="28"/>
          <w:szCs w:val="28"/>
        </w:rPr>
        <w:t>白色背景</w:t>
      </w:r>
      <w:r>
        <w:rPr>
          <w:rFonts w:hint="eastAsia" w:ascii="仿宋" w:hAnsi="仿宋" w:eastAsia="仿宋" w:cs="仿宋"/>
          <w:sz w:val="28"/>
          <w:szCs w:val="28"/>
        </w:rPr>
        <w:t>，不得对人像特征进行技术处理，不得遮挡五官，不要化妆。不得上传摄像头或者手机拍摄的自拍照或美颜照。</w:t>
      </w:r>
    </w:p>
    <w:p>
      <w:pPr>
        <w:spacing w:after="0"/>
        <w:ind w:firstLine="640" w:firstLineChars="200"/>
        <w:rPr>
          <w:rFonts w:ascii="仿宋_GB2312" w:hAnsi="Calibri" w:eastAsia="仿宋_GB2312"/>
          <w:sz w:val="32"/>
          <w:szCs w:val="32"/>
        </w:rPr>
      </w:pPr>
      <w:r>
        <w:rPr>
          <w:rFonts w:ascii="仿宋_GB2312" w:hAnsi="Calibri" w:eastAsia="仿宋_GB2312"/>
          <w:sz w:val="32"/>
          <w:szCs w:val="32"/>
        </w:rPr>
        <w:drawing>
          <wp:inline distT="0" distB="0" distL="0" distR="0">
            <wp:extent cx="1392555" cy="2094865"/>
            <wp:effectExtent l="19050" t="0" r="0" b="0"/>
            <wp:docPr id="2" name="图片 3" descr="1910301633290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91030163329036856"/>
                    <pic:cNvPicPr>
                      <a:picLocks noChangeAspect="1" noChangeArrowheads="1"/>
                    </pic:cNvPicPr>
                  </pic:nvPicPr>
                  <pic:blipFill>
                    <a:blip r:embed="rId5" cstate="print"/>
                    <a:srcRect/>
                    <a:stretch>
                      <a:fillRect/>
                    </a:stretch>
                  </pic:blipFill>
                  <pic:spPr>
                    <a:xfrm>
                      <a:off x="0" y="0"/>
                      <a:ext cx="1392555" cy="2094865"/>
                    </a:xfrm>
                    <a:prstGeom prst="rect">
                      <a:avLst/>
                    </a:prstGeom>
                    <a:noFill/>
                    <a:ln w="9525">
                      <a:noFill/>
                      <a:miter lim="800000"/>
                      <a:headEnd/>
                      <a:tailEnd/>
                    </a:ln>
                    <a:effectLst/>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二）本人手持身份证照片。手持本人身份证（头像面），将持证的手臂和上半身整个拍进照片，头部和肩部要端正，头发不得遮挡脸部或造成阴影，要露出五官；身份证上的所有信息清晰可见、完整（没有被遮挡或者被手指捏住）。</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41575" cy="1607820"/>
            <wp:effectExtent l="19050" t="0" r="0" b="0"/>
            <wp:docPr id="12"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57"/>
                    <pic:cNvPicPr>
                      <a:picLocks noChangeAspect="1" noChangeArrowheads="1"/>
                    </pic:cNvPicPr>
                  </pic:nvPicPr>
                  <pic:blipFill>
                    <a:blip r:embed="rId6" cstate="print"/>
                    <a:srcRect/>
                    <a:stretch>
                      <a:fillRect/>
                    </a:stretch>
                  </pic:blipFill>
                  <pic:spPr>
                    <a:xfrm>
                      <a:off x="0" y="0"/>
                      <a:ext cx="2441575" cy="160782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（三）本人身份证原件正反面照片（分正反面两张上传、头像、信息内容清晰）。</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61895" cy="1537335"/>
            <wp:effectExtent l="19050" t="0" r="0" b="0"/>
            <wp:docPr id="13"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8"/>
                    <pic:cNvPicPr>
                      <a:picLocks noChangeAspect="1" noChangeArrowheads="1"/>
                    </pic:cNvPicPr>
                  </pic:nvPicPr>
                  <pic:blipFill>
                    <a:blip r:embed="rId7" cstate="print"/>
                    <a:srcRect/>
                    <a:stretch>
                      <a:fillRect/>
                    </a:stretch>
                  </pic:blipFill>
                  <pic:spPr>
                    <a:xfrm>
                      <a:off x="0" y="0"/>
                      <a:ext cx="2461895" cy="1537335"/>
                    </a:xfrm>
                    <a:prstGeom prst="rect">
                      <a:avLst/>
                    </a:prstGeom>
                    <a:noFill/>
                    <a:ln w="9525">
                      <a:noFill/>
                      <a:miter lim="800000"/>
                      <a:headEnd/>
                      <a:tailEnd/>
                    </a:ln>
                  </pic:spPr>
                </pic:pic>
              </a:graphicData>
            </a:graphic>
          </wp:inline>
        </w:drawing>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31415" cy="1537335"/>
            <wp:effectExtent l="19050" t="0" r="6985" b="0"/>
            <wp:docPr id="1"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descr="IMG_259"/>
                    <pic:cNvPicPr>
                      <a:picLocks noChangeAspect="1" noChangeArrowheads="1"/>
                    </pic:cNvPicPr>
                  </pic:nvPicPr>
                  <pic:blipFill>
                    <a:blip r:embed="rId8" cstate="print"/>
                    <a:srcRect/>
                    <a:stretch>
                      <a:fillRect/>
                    </a:stretch>
                  </pic:blipFill>
                  <pic:spPr>
                    <a:xfrm>
                      <a:off x="0" y="0"/>
                      <a:ext cx="2431415" cy="1537335"/>
                    </a:xfrm>
                    <a:prstGeom prst="rect">
                      <a:avLst/>
                    </a:prstGeom>
                    <a:noFill/>
                    <a:ln w="9525">
                      <a:noFill/>
                      <a:miter lim="800000"/>
                      <a:headEnd/>
                      <a:tailEnd/>
                    </a:ln>
                  </pic:spPr>
                </pic:pic>
              </a:graphicData>
            </a:graphic>
          </wp:inline>
        </w:drawing>
      </w:r>
    </w:p>
    <w:p>
      <w:pPr>
        <w:spacing w:after="0"/>
        <w:ind w:firstLine="640" w:firstLineChars="200"/>
        <w:jc w:val="both"/>
        <w:rPr>
          <w:rFonts w:hint="eastAsia" w:ascii="仿宋_GB2312" w:hAnsi="Calibri" w:eastAsia="仿宋_GB2312"/>
          <w:sz w:val="32"/>
          <w:szCs w:val="32"/>
        </w:rPr>
      </w:pP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（四）以上三项为所有考生必须上传图片（四张）。特别提醒：证件照片要按照要求上传，严禁对照片进行修图，对证件照审核未通过的考生，须到现场进行审核。</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（五）考生还须按下列要求上传的其它证件及材料照片</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报考</w:t>
      </w:r>
      <w:r>
        <w:rPr>
          <w:rFonts w:hint="eastAsia" w:ascii="仿宋" w:hAnsi="仿宋" w:eastAsia="仿宋" w:cs="仿宋"/>
          <w:sz w:val="28"/>
          <w:szCs w:val="28"/>
          <w:lang w:eastAsia="zh-CN"/>
        </w:rPr>
        <w:t>哈尔滨理工大学</w:t>
      </w:r>
      <w:r>
        <w:rPr>
          <w:rFonts w:hint="eastAsia" w:ascii="仿宋" w:hAnsi="仿宋" w:eastAsia="仿宋" w:cs="仿宋"/>
          <w:sz w:val="28"/>
          <w:szCs w:val="28"/>
        </w:rPr>
        <w:t>“单独考试”的考生</w:t>
      </w:r>
      <w:r>
        <w:rPr>
          <w:rFonts w:hint="eastAsia" w:ascii="仿宋" w:hAnsi="仿宋" w:eastAsia="仿宋" w:cs="仿宋"/>
          <w:sz w:val="28"/>
          <w:szCs w:val="28"/>
          <w:lang w:eastAsia="zh-CN"/>
        </w:rPr>
        <w:t>须上传（</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毕业证书照片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哈尔滨理工大学单独考试硕士研究生推荐表</w:t>
      </w:r>
      <w:r>
        <w:rPr>
          <w:rFonts w:hint="eastAsia" w:ascii="仿宋" w:hAnsi="仿宋" w:eastAsia="仿宋" w:cs="仿宋"/>
          <w:sz w:val="28"/>
          <w:szCs w:val="28"/>
          <w:lang w:eastAsia="zh-CN"/>
        </w:rPr>
        <w:t>照片。（</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color w:val="auto"/>
          <w:sz w:val="28"/>
          <w:szCs w:val="28"/>
          <w:lang w:eastAsia="zh-CN"/>
        </w:rPr>
        <w:t>在</w:t>
      </w:r>
      <w:r>
        <w:rPr>
          <w:rFonts w:hint="eastAsia" w:ascii="仿宋" w:hAnsi="仿宋" w:eastAsia="仿宋" w:cs="仿宋"/>
          <w:color w:val="auto"/>
          <w:sz w:val="28"/>
          <w:szCs w:val="28"/>
          <w:lang w:val="en-US" w:eastAsia="zh-CN"/>
        </w:rPr>
        <w:t>10月28日前，</w:t>
      </w:r>
      <w:r>
        <w:rPr>
          <w:rFonts w:hint="eastAsia" w:ascii="仿宋" w:hAnsi="仿宋" w:eastAsia="仿宋" w:cs="仿宋"/>
          <w:color w:val="auto"/>
          <w:sz w:val="28"/>
          <w:szCs w:val="28"/>
          <w:lang w:eastAsia="zh-CN"/>
        </w:rPr>
        <w:t>考生将</w:t>
      </w:r>
      <w:r>
        <w:rPr>
          <w:rFonts w:hint="eastAsia" w:ascii="仿宋" w:hAnsi="仿宋" w:eastAsia="仿宋" w:cs="仿宋"/>
          <w:color w:val="auto"/>
          <w:sz w:val="28"/>
          <w:szCs w:val="28"/>
          <w:highlight w:val="none"/>
        </w:rPr>
        <w:t>哈尔滨理工大学单独考试硕士研究生推荐表</w:t>
      </w:r>
      <w:r>
        <w:rPr>
          <w:rFonts w:hint="eastAsia" w:ascii="仿宋" w:hAnsi="仿宋" w:eastAsia="仿宋" w:cs="仿宋"/>
          <w:color w:val="auto"/>
          <w:sz w:val="28"/>
          <w:szCs w:val="28"/>
          <w:highlight w:val="none"/>
          <w:lang w:eastAsia="zh-CN"/>
        </w:rPr>
        <w:t>和本人</w:t>
      </w:r>
      <w:r>
        <w:rPr>
          <w:rFonts w:hint="eastAsia" w:ascii="仿宋" w:hAnsi="仿宋" w:eastAsia="仿宋" w:cs="仿宋"/>
          <w:color w:val="auto"/>
          <w:sz w:val="28"/>
          <w:szCs w:val="28"/>
          <w:highlight w:val="none"/>
        </w:rPr>
        <w:t>曾经发表过的研究论文(技术报告)的复印件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邮寄至</w:t>
      </w:r>
      <w:r>
        <w:rPr>
          <w:rFonts w:hint="eastAsia" w:ascii="仿宋" w:hAnsi="仿宋" w:eastAsia="仿宋" w:cs="仿宋"/>
          <w:color w:val="auto"/>
          <w:sz w:val="28"/>
          <w:szCs w:val="28"/>
          <w:lang w:val="en-US" w:eastAsia="zh-CN"/>
        </w:rPr>
        <w:t>哈尔滨理工大学研究生处招生办公室</w:t>
      </w:r>
      <w:r>
        <w:rPr>
          <w:rFonts w:hint="eastAsia" w:ascii="仿宋" w:hAnsi="仿宋" w:eastAsia="仿宋" w:cs="仿宋"/>
          <w:color w:val="auto"/>
          <w:sz w:val="28"/>
          <w:szCs w:val="28"/>
        </w:rPr>
        <w:t>。</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市内高校</w:t>
      </w:r>
      <w:bookmarkStart w:id="0" w:name="_GoBack"/>
      <w:bookmarkEnd w:id="0"/>
      <w:r>
        <w:rPr>
          <w:rFonts w:hint="eastAsia" w:ascii="仿宋" w:hAnsi="仿宋" w:eastAsia="仿宋" w:cs="仿宋"/>
          <w:sz w:val="28"/>
          <w:szCs w:val="28"/>
        </w:rPr>
        <w:t>202</w:t>
      </w:r>
      <w:r>
        <w:rPr>
          <w:rFonts w:hint="eastAsia" w:ascii="仿宋" w:hAnsi="仿宋" w:eastAsia="仿宋" w:cs="仿宋"/>
          <w:sz w:val="28"/>
          <w:szCs w:val="28"/>
          <w:lang w:val="en-US" w:eastAsia="zh-CN"/>
        </w:rPr>
        <w:t>2</w:t>
      </w:r>
      <w:r>
        <w:rPr>
          <w:rFonts w:hint="eastAsia" w:ascii="仿宋" w:hAnsi="仿宋" w:eastAsia="仿宋" w:cs="仿宋"/>
          <w:sz w:val="28"/>
          <w:szCs w:val="28"/>
        </w:rPr>
        <w:t>届全日制应届本科毕业生（含成人高校、网络教育）须上传“中国高等教育学生信息网”的《教育部学籍在线验证报告》。</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42870" cy="3165475"/>
            <wp:effectExtent l="19050" t="0" r="5080" b="0"/>
            <wp:docPr id="15"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IMG_260"/>
                    <pic:cNvPicPr>
                      <a:picLocks noChangeAspect="1" noChangeArrowheads="1"/>
                    </pic:cNvPicPr>
                  </pic:nvPicPr>
                  <pic:blipFill>
                    <a:blip r:embed="rId9" cstate="print"/>
                    <a:srcRect/>
                    <a:stretch>
                      <a:fillRect/>
                    </a:stretch>
                  </pic:blipFill>
                  <pic:spPr>
                    <a:xfrm>
                      <a:off x="0" y="0"/>
                      <a:ext cx="2642870" cy="3165475"/>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户籍的往届毕业生须提供（1）毕业证书照片（毕业证书丢失的提供“中国高等教育学生信息网”的《教育部学历证书电子注册备案表》或《中国高等教育学历认证报告》，下同）；（2）户口簿首页、索引页及个人单页（集体户口仅提供首页及个人单页）。</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62555" cy="1828800"/>
            <wp:effectExtent l="19050" t="0" r="4445" b="0"/>
            <wp:docPr id="16"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62"/>
                    <pic:cNvPicPr>
                      <a:picLocks noChangeAspect="1" noChangeArrowheads="1"/>
                    </pic:cNvPicPr>
                  </pic:nvPicPr>
                  <pic:blipFill>
                    <a:blip r:embed="rId10" cstate="print"/>
                    <a:srcRect/>
                    <a:stretch>
                      <a:fillRect/>
                    </a:stretch>
                  </pic:blipFill>
                  <pic:spPr>
                    <a:xfrm>
                      <a:off x="0" y="0"/>
                      <a:ext cx="2662555" cy="182880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4.未能通过学历（学籍）网上校验的考生应在招生单位规定时间内完成学历（学籍）核验。</w:t>
      </w:r>
    </w:p>
    <w:p>
      <w:pPr>
        <w:spacing w:after="0"/>
        <w:ind w:firstLine="640" w:firstLineChars="200"/>
        <w:rPr>
          <w:rFonts w:ascii="仿宋_GB2312" w:hAnsi="Calibri" w:eastAsia="仿宋_GB2312"/>
          <w:sz w:val="32"/>
          <w:szCs w:val="32"/>
        </w:rPr>
      </w:pPr>
      <w:r>
        <w:rPr>
          <w:rFonts w:ascii="仿宋_GB2312" w:hAnsi="宋体" w:eastAsia="仿宋_GB2312" w:cs="宋体"/>
          <w:sz w:val="32"/>
          <w:szCs w:val="32"/>
        </w:rPr>
        <w:drawing>
          <wp:inline distT="0" distB="0" distL="0" distR="0">
            <wp:extent cx="3236595" cy="4472940"/>
            <wp:effectExtent l="19050" t="0" r="1884" b="0"/>
            <wp:docPr id="17" name="图片 14" descr="C:\Users\ADMINI~1.PC-\AppData\Local\Temp\1567670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1.PC-\AppData\Local\Temp\1567670441(1).png"/>
                    <pic:cNvPicPr>
                      <a:picLocks noChangeAspect="1" noChangeArrowheads="1"/>
                    </pic:cNvPicPr>
                  </pic:nvPicPr>
                  <pic:blipFill>
                    <a:blip r:embed="rId11" cstate="print"/>
                    <a:srcRect/>
                    <a:stretch>
                      <a:fillRect/>
                    </a:stretch>
                  </pic:blipFill>
                  <pic:spPr>
                    <a:xfrm>
                      <a:off x="0" y="0"/>
                      <a:ext cx="3243341" cy="4482749"/>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在哈尔滨市工作但户口未随迁的外市户籍往届生须提供（1）毕业证书照片；（2）工作证明（须加盖与网上报名信息一致的单位公章，并注明工作单位详细地址及人事主管联系电话，用于后期核实）；（3）社保缴纳记录（哈尔滨市区人力资源和社会保障局开具的近3个月《基本养老保险参保缴费证明》）。</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6.哈尔滨市户籍未取得毕业证的自学考试本科考生须提供（1）户口簿首页、索引页及个人单页；（2）证明自考生身份的材料，如准考证、课程合格证明等。</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哈尔滨市工作的外市户籍自考生须提供（1）工作证明（须加盖与网上报名信息一致的单位公章，并注明工作单位详细地址及人事主管联系电话，用于后期核实）；（2）社保缴纳记录（哈尔滨市区人力资源和社会保障局开具的近3个月《基本养老保险参保缴费证明》）；（3）证明自考生身份的材料，如准考证、课程合格证明等。</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7.报考“退役大学生士兵专项硕士研究生招生计划”的考生除上述类别应该提交的材料外，还须上传本人《入伍批准书》和《退出现役证》原件。</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1637665" cy="2451735"/>
            <wp:effectExtent l="19050" t="0" r="635" b="0"/>
            <wp:docPr id="21"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64"/>
                    <pic:cNvPicPr>
                      <a:picLocks noChangeAspect="1" noChangeArrowheads="1"/>
                    </pic:cNvPicPr>
                  </pic:nvPicPr>
                  <pic:blipFill>
                    <a:blip r:embed="rId12" cstate="print"/>
                    <a:srcRect/>
                    <a:stretch>
                      <a:fillRect/>
                    </a:stretch>
                  </pic:blipFill>
                  <pic:spPr>
                    <a:xfrm>
                      <a:off x="0" y="0"/>
                      <a:ext cx="1637665" cy="2451735"/>
                    </a:xfrm>
                    <a:prstGeom prst="rect">
                      <a:avLst/>
                    </a:prstGeom>
                    <a:noFill/>
                    <a:ln w="9525">
                      <a:noFill/>
                      <a:miter lim="800000"/>
                      <a:headEnd/>
                      <a:tailEnd/>
                    </a:ln>
                  </pic:spPr>
                </pic:pic>
              </a:graphicData>
            </a:graphic>
          </wp:inline>
        </w:drawing>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351405" cy="1447165"/>
            <wp:effectExtent l="19050" t="0" r="0" b="0"/>
            <wp:docPr id="22"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descr="IMG_265"/>
                    <pic:cNvPicPr>
                      <a:picLocks noChangeAspect="1" noChangeArrowheads="1"/>
                    </pic:cNvPicPr>
                  </pic:nvPicPr>
                  <pic:blipFill>
                    <a:blip r:embed="rId13" cstate="print"/>
                    <a:srcRect/>
                    <a:stretch>
                      <a:fillRect/>
                    </a:stretch>
                  </pic:blipFill>
                  <pic:spPr>
                    <a:xfrm>
                      <a:off x="0" y="0"/>
                      <a:ext cx="2351405" cy="1447165"/>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8.在境外获得学历证书的考生除上述对应类别应提交的材料外还须上传教育部留学服务中心出具的《国（境）外学历学位认证书》。</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110105" cy="2943860"/>
            <wp:effectExtent l="19050" t="0" r="4445" b="0"/>
            <wp:docPr id="19"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IMG_263"/>
                    <pic:cNvPicPr>
                      <a:picLocks noChangeAspect="1" noChangeArrowheads="1"/>
                    </pic:cNvPicPr>
                  </pic:nvPicPr>
                  <pic:blipFill>
                    <a:blip r:embed="rId14" cstate="print"/>
                    <a:srcRect/>
                    <a:stretch>
                      <a:fillRect/>
                    </a:stretch>
                  </pic:blipFill>
                  <pic:spPr>
                    <a:xfrm>
                      <a:off x="0" y="0"/>
                      <a:ext cx="2110105" cy="294386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9.对考生提供的无法清晰辨识的照片，考生须在考点规定时间内重新提交。</w:t>
      </w:r>
    </w:p>
    <w:p>
      <w:pPr>
        <w:spacing w:after="0"/>
        <w:ind w:firstLine="640" w:firstLineChars="200"/>
        <w:jc w:val="both"/>
        <w:rPr>
          <w:rFonts w:ascii="仿宋_GB2312" w:hAnsi="Calibri" w:eastAsia="仿宋_GB2312"/>
          <w:sz w:val="32"/>
          <w:szCs w:val="32"/>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ODkxODg5NGU2NmFmZDAzYTYzNWNhNGRlYjNkNGUzMWIifQ=="/>
  </w:docVars>
  <w:rsids>
    <w:rsidRoot w:val="00D31D50"/>
    <w:rsid w:val="00005A5F"/>
    <w:rsid w:val="0001793A"/>
    <w:rsid w:val="00021B0E"/>
    <w:rsid w:val="00037BF3"/>
    <w:rsid w:val="000402E4"/>
    <w:rsid w:val="0006226A"/>
    <w:rsid w:val="00072BBD"/>
    <w:rsid w:val="00080721"/>
    <w:rsid w:val="00093F40"/>
    <w:rsid w:val="000A18D8"/>
    <w:rsid w:val="000F19B0"/>
    <w:rsid w:val="00100E82"/>
    <w:rsid w:val="00133757"/>
    <w:rsid w:val="001814DB"/>
    <w:rsid w:val="001908AD"/>
    <w:rsid w:val="001A51D9"/>
    <w:rsid w:val="001F4146"/>
    <w:rsid w:val="00202AA4"/>
    <w:rsid w:val="002078B6"/>
    <w:rsid w:val="002228B2"/>
    <w:rsid w:val="00230BF2"/>
    <w:rsid w:val="00280569"/>
    <w:rsid w:val="002921CA"/>
    <w:rsid w:val="002C2A9F"/>
    <w:rsid w:val="002E45B3"/>
    <w:rsid w:val="002F0898"/>
    <w:rsid w:val="002F2B92"/>
    <w:rsid w:val="00301BFB"/>
    <w:rsid w:val="00303254"/>
    <w:rsid w:val="0030407D"/>
    <w:rsid w:val="00323B43"/>
    <w:rsid w:val="0036003F"/>
    <w:rsid w:val="0037051F"/>
    <w:rsid w:val="00370E0E"/>
    <w:rsid w:val="003845BF"/>
    <w:rsid w:val="00387399"/>
    <w:rsid w:val="003933FF"/>
    <w:rsid w:val="003953F4"/>
    <w:rsid w:val="003956A6"/>
    <w:rsid w:val="003A5018"/>
    <w:rsid w:val="003C6B08"/>
    <w:rsid w:val="003D37D8"/>
    <w:rsid w:val="003D6B4C"/>
    <w:rsid w:val="003F0CB6"/>
    <w:rsid w:val="004003C5"/>
    <w:rsid w:val="00403DB5"/>
    <w:rsid w:val="004073D7"/>
    <w:rsid w:val="00420029"/>
    <w:rsid w:val="00426133"/>
    <w:rsid w:val="004358AB"/>
    <w:rsid w:val="00454D27"/>
    <w:rsid w:val="004567E0"/>
    <w:rsid w:val="00457E7A"/>
    <w:rsid w:val="0046144D"/>
    <w:rsid w:val="00466B1B"/>
    <w:rsid w:val="0047120F"/>
    <w:rsid w:val="004B6BEF"/>
    <w:rsid w:val="004F3CEB"/>
    <w:rsid w:val="004F5235"/>
    <w:rsid w:val="00592930"/>
    <w:rsid w:val="005B2E4E"/>
    <w:rsid w:val="005B528A"/>
    <w:rsid w:val="005B781F"/>
    <w:rsid w:val="005D0BF5"/>
    <w:rsid w:val="005E4647"/>
    <w:rsid w:val="006003A0"/>
    <w:rsid w:val="00601542"/>
    <w:rsid w:val="006049D8"/>
    <w:rsid w:val="0062532B"/>
    <w:rsid w:val="00655A63"/>
    <w:rsid w:val="00657CE9"/>
    <w:rsid w:val="00660D41"/>
    <w:rsid w:val="00662AC8"/>
    <w:rsid w:val="00667766"/>
    <w:rsid w:val="00676F3E"/>
    <w:rsid w:val="006F6FDB"/>
    <w:rsid w:val="00703743"/>
    <w:rsid w:val="00732454"/>
    <w:rsid w:val="00736FF6"/>
    <w:rsid w:val="00757C0A"/>
    <w:rsid w:val="0076499B"/>
    <w:rsid w:val="007C2C60"/>
    <w:rsid w:val="007D5F0D"/>
    <w:rsid w:val="008259DC"/>
    <w:rsid w:val="00856DEA"/>
    <w:rsid w:val="00864694"/>
    <w:rsid w:val="00885542"/>
    <w:rsid w:val="00885FA0"/>
    <w:rsid w:val="00892994"/>
    <w:rsid w:val="008B3DD9"/>
    <w:rsid w:val="008B7726"/>
    <w:rsid w:val="008D53FD"/>
    <w:rsid w:val="009405F7"/>
    <w:rsid w:val="00947120"/>
    <w:rsid w:val="00955D8A"/>
    <w:rsid w:val="009770D7"/>
    <w:rsid w:val="00984C42"/>
    <w:rsid w:val="009948CB"/>
    <w:rsid w:val="009C041B"/>
    <w:rsid w:val="009D27C9"/>
    <w:rsid w:val="009E03FF"/>
    <w:rsid w:val="009E0D06"/>
    <w:rsid w:val="00A05A13"/>
    <w:rsid w:val="00A243F5"/>
    <w:rsid w:val="00A34EBB"/>
    <w:rsid w:val="00A40485"/>
    <w:rsid w:val="00A478D3"/>
    <w:rsid w:val="00AA75F5"/>
    <w:rsid w:val="00AA7610"/>
    <w:rsid w:val="00AB07A6"/>
    <w:rsid w:val="00AD348C"/>
    <w:rsid w:val="00AE644C"/>
    <w:rsid w:val="00B11F19"/>
    <w:rsid w:val="00B423F0"/>
    <w:rsid w:val="00B47927"/>
    <w:rsid w:val="00B5568C"/>
    <w:rsid w:val="00B9079B"/>
    <w:rsid w:val="00BA0149"/>
    <w:rsid w:val="00BA4F31"/>
    <w:rsid w:val="00BB41A2"/>
    <w:rsid w:val="00BD41B8"/>
    <w:rsid w:val="00C00B15"/>
    <w:rsid w:val="00C3614F"/>
    <w:rsid w:val="00C4516D"/>
    <w:rsid w:val="00C46451"/>
    <w:rsid w:val="00C54A51"/>
    <w:rsid w:val="00CA3FE9"/>
    <w:rsid w:val="00CB1616"/>
    <w:rsid w:val="00CD1D62"/>
    <w:rsid w:val="00CE2100"/>
    <w:rsid w:val="00D00FAB"/>
    <w:rsid w:val="00D10679"/>
    <w:rsid w:val="00D31D50"/>
    <w:rsid w:val="00D31FF8"/>
    <w:rsid w:val="00D56218"/>
    <w:rsid w:val="00D76FB3"/>
    <w:rsid w:val="00D854AB"/>
    <w:rsid w:val="00DB6F84"/>
    <w:rsid w:val="00DC7DE0"/>
    <w:rsid w:val="00DE0945"/>
    <w:rsid w:val="00E76E03"/>
    <w:rsid w:val="00E81377"/>
    <w:rsid w:val="00EA6B7B"/>
    <w:rsid w:val="00ED6877"/>
    <w:rsid w:val="00EE5DD3"/>
    <w:rsid w:val="00F2309C"/>
    <w:rsid w:val="00F33E24"/>
    <w:rsid w:val="00F347B9"/>
    <w:rsid w:val="00F53A51"/>
    <w:rsid w:val="00F73405"/>
    <w:rsid w:val="00F935D8"/>
    <w:rsid w:val="00FB3575"/>
    <w:rsid w:val="04230700"/>
    <w:rsid w:val="04907A08"/>
    <w:rsid w:val="05016610"/>
    <w:rsid w:val="05D92D52"/>
    <w:rsid w:val="06650B45"/>
    <w:rsid w:val="07214AEF"/>
    <w:rsid w:val="08D14C9D"/>
    <w:rsid w:val="0C98035B"/>
    <w:rsid w:val="0CAB5BC5"/>
    <w:rsid w:val="0CF92614"/>
    <w:rsid w:val="0D7449C8"/>
    <w:rsid w:val="0DED1503"/>
    <w:rsid w:val="0E651E6C"/>
    <w:rsid w:val="0EF214F6"/>
    <w:rsid w:val="0F675375"/>
    <w:rsid w:val="10D7206A"/>
    <w:rsid w:val="10E346D1"/>
    <w:rsid w:val="117A3134"/>
    <w:rsid w:val="119258C1"/>
    <w:rsid w:val="12AD4F98"/>
    <w:rsid w:val="12F4487A"/>
    <w:rsid w:val="138C01B3"/>
    <w:rsid w:val="13DC70C3"/>
    <w:rsid w:val="175E3943"/>
    <w:rsid w:val="1794522C"/>
    <w:rsid w:val="188D3575"/>
    <w:rsid w:val="194D3C6F"/>
    <w:rsid w:val="19D70F01"/>
    <w:rsid w:val="1B517EA5"/>
    <w:rsid w:val="1B553B9A"/>
    <w:rsid w:val="1B641399"/>
    <w:rsid w:val="1C8714A1"/>
    <w:rsid w:val="1DDC1DCF"/>
    <w:rsid w:val="1DE66A9B"/>
    <w:rsid w:val="1E8F7FF7"/>
    <w:rsid w:val="1FAA52F2"/>
    <w:rsid w:val="1FBE316E"/>
    <w:rsid w:val="1FF423EA"/>
    <w:rsid w:val="225C4087"/>
    <w:rsid w:val="236B490D"/>
    <w:rsid w:val="24395810"/>
    <w:rsid w:val="255D41AF"/>
    <w:rsid w:val="27B17AD3"/>
    <w:rsid w:val="28847B42"/>
    <w:rsid w:val="2942034E"/>
    <w:rsid w:val="29C326B2"/>
    <w:rsid w:val="2B044B14"/>
    <w:rsid w:val="2DB37611"/>
    <w:rsid w:val="2E030EB4"/>
    <w:rsid w:val="2E9239DF"/>
    <w:rsid w:val="30AF1144"/>
    <w:rsid w:val="33766DA6"/>
    <w:rsid w:val="33896534"/>
    <w:rsid w:val="33C4197F"/>
    <w:rsid w:val="344F79F8"/>
    <w:rsid w:val="35265CE8"/>
    <w:rsid w:val="35851427"/>
    <w:rsid w:val="379123EE"/>
    <w:rsid w:val="37FE3DAC"/>
    <w:rsid w:val="385C4435"/>
    <w:rsid w:val="38F431D4"/>
    <w:rsid w:val="3A5B1A40"/>
    <w:rsid w:val="3AAB64F5"/>
    <w:rsid w:val="3AC7040F"/>
    <w:rsid w:val="3AEF5047"/>
    <w:rsid w:val="3B270722"/>
    <w:rsid w:val="3B6A3BCB"/>
    <w:rsid w:val="3CDD747A"/>
    <w:rsid w:val="3E9B78D9"/>
    <w:rsid w:val="3EBD7537"/>
    <w:rsid w:val="422129B4"/>
    <w:rsid w:val="42D04BDF"/>
    <w:rsid w:val="43225D8F"/>
    <w:rsid w:val="45337175"/>
    <w:rsid w:val="453B2D58"/>
    <w:rsid w:val="45E47F93"/>
    <w:rsid w:val="46655AC1"/>
    <w:rsid w:val="47B1715E"/>
    <w:rsid w:val="47B63FCC"/>
    <w:rsid w:val="49205F82"/>
    <w:rsid w:val="4BA213A1"/>
    <w:rsid w:val="4D290056"/>
    <w:rsid w:val="4F193A25"/>
    <w:rsid w:val="4F8F5D9F"/>
    <w:rsid w:val="505478A0"/>
    <w:rsid w:val="50756E1A"/>
    <w:rsid w:val="50A25F8B"/>
    <w:rsid w:val="50BD6777"/>
    <w:rsid w:val="519B3BEA"/>
    <w:rsid w:val="52E525F9"/>
    <w:rsid w:val="54FB29B3"/>
    <w:rsid w:val="569A58EF"/>
    <w:rsid w:val="57454BB6"/>
    <w:rsid w:val="5A2F0620"/>
    <w:rsid w:val="5BD766C8"/>
    <w:rsid w:val="5E146CEE"/>
    <w:rsid w:val="5F566C75"/>
    <w:rsid w:val="5F593561"/>
    <w:rsid w:val="5FD75D0E"/>
    <w:rsid w:val="602765CF"/>
    <w:rsid w:val="61EE02CB"/>
    <w:rsid w:val="62A17F2F"/>
    <w:rsid w:val="62B8346B"/>
    <w:rsid w:val="638C37EB"/>
    <w:rsid w:val="63C81620"/>
    <w:rsid w:val="65751605"/>
    <w:rsid w:val="657D032E"/>
    <w:rsid w:val="66020929"/>
    <w:rsid w:val="6653632D"/>
    <w:rsid w:val="66771E87"/>
    <w:rsid w:val="692E7D1A"/>
    <w:rsid w:val="697F4576"/>
    <w:rsid w:val="6AE46E05"/>
    <w:rsid w:val="6BB50373"/>
    <w:rsid w:val="6CA97C83"/>
    <w:rsid w:val="6CD040E2"/>
    <w:rsid w:val="6D1E7100"/>
    <w:rsid w:val="6E4E754A"/>
    <w:rsid w:val="708C4211"/>
    <w:rsid w:val="71C83AA0"/>
    <w:rsid w:val="7547224B"/>
    <w:rsid w:val="75B12347"/>
    <w:rsid w:val="787D239A"/>
    <w:rsid w:val="78887D01"/>
    <w:rsid w:val="79922CEA"/>
    <w:rsid w:val="7A5B6D3F"/>
    <w:rsid w:val="7A8B578E"/>
    <w:rsid w:val="7B42757C"/>
    <w:rsid w:val="7B83304F"/>
    <w:rsid w:val="7CB3150B"/>
    <w:rsid w:val="7E366AE7"/>
    <w:rsid w:val="7E9D27DC"/>
    <w:rsid w:val="7ED874B5"/>
    <w:rsid w:val="7F3B25B1"/>
    <w:rsid w:val="7F4327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pPr>
      <w:adjustRightInd/>
      <w:snapToGrid/>
      <w:spacing w:after="0"/>
    </w:pPr>
    <w:rPr>
      <w:rFonts w:cs="Times New Roman" w:asciiTheme="minorHAnsi" w:hAnsiTheme="minorHAnsi" w:eastAsiaTheme="minorEastAsia"/>
      <w:sz w:val="24"/>
      <w:szCs w:val="24"/>
      <w:lang w:eastAsia="en-US" w:bidi="en-US"/>
    </w:rPr>
  </w:style>
  <w:style w:type="paragraph" w:styleId="3">
    <w:name w:val="Balloon Text"/>
    <w:basedOn w:val="1"/>
    <w:link w:val="14"/>
    <w:semiHidden/>
    <w:unhideWhenUsed/>
    <w:qFormat/>
    <w:uiPriority w:val="99"/>
    <w:pPr>
      <w:spacing w:after="0"/>
    </w:pPr>
    <w:rPr>
      <w:sz w:val="18"/>
      <w:szCs w:val="18"/>
    </w:rPr>
  </w:style>
  <w:style w:type="paragraph" w:styleId="4">
    <w:name w:val="footer"/>
    <w:basedOn w:val="1"/>
    <w:link w:val="12"/>
    <w:semiHidden/>
    <w:unhideWhenUsed/>
    <w:qFormat/>
    <w:uiPriority w:val="99"/>
    <w:pPr>
      <w:tabs>
        <w:tab w:val="center" w:pos="4153"/>
        <w:tab w:val="right" w:pos="8306"/>
      </w:tabs>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character" w:styleId="8">
    <w:name w:val="FollowedHyperlink"/>
    <w:basedOn w:val="7"/>
    <w:semiHidden/>
    <w:unhideWhenUsed/>
    <w:qFormat/>
    <w:uiPriority w:val="99"/>
    <w:rPr>
      <w:color w:val="800080"/>
      <w:u w:val="single"/>
    </w:rPr>
  </w:style>
  <w:style w:type="character" w:styleId="9">
    <w:name w:val="Hyperlink"/>
    <w:basedOn w:val="7"/>
    <w:unhideWhenUsed/>
    <w:qFormat/>
    <w:uiPriority w:val="99"/>
    <w:rPr>
      <w:color w:val="0000FF"/>
      <w:u w:val="single"/>
    </w:rPr>
  </w:style>
  <w:style w:type="character" w:styleId="10">
    <w:name w:val="annotation reference"/>
    <w:basedOn w:val="7"/>
    <w:semiHidden/>
    <w:unhideWhenUsed/>
    <w:qFormat/>
    <w:uiPriority w:val="99"/>
    <w:rPr>
      <w:sz w:val="21"/>
      <w:szCs w:val="21"/>
    </w:rPr>
  </w:style>
  <w:style w:type="character" w:customStyle="1" w:styleId="11">
    <w:name w:val="页眉 Char"/>
    <w:basedOn w:val="7"/>
    <w:link w:val="5"/>
    <w:semiHidden/>
    <w:qFormat/>
    <w:uiPriority w:val="99"/>
    <w:rPr>
      <w:rFonts w:ascii="Tahoma" w:hAnsi="Tahoma"/>
      <w:sz w:val="18"/>
      <w:szCs w:val="18"/>
    </w:rPr>
  </w:style>
  <w:style w:type="character" w:customStyle="1" w:styleId="12">
    <w:name w:val="页脚 Char"/>
    <w:basedOn w:val="7"/>
    <w:link w:val="4"/>
    <w:semiHidden/>
    <w:qFormat/>
    <w:uiPriority w:val="99"/>
    <w:rPr>
      <w:rFonts w:ascii="Tahoma" w:hAnsi="Tahoma"/>
      <w:sz w:val="18"/>
      <w:szCs w:val="18"/>
    </w:rPr>
  </w:style>
  <w:style w:type="character" w:customStyle="1" w:styleId="13">
    <w:name w:val="批注文字 Char"/>
    <w:basedOn w:val="7"/>
    <w:link w:val="2"/>
    <w:semiHidden/>
    <w:qFormat/>
    <w:uiPriority w:val="99"/>
    <w:rPr>
      <w:rFonts w:cs="Times New Roman" w:eastAsiaTheme="minorEastAsia"/>
      <w:sz w:val="24"/>
      <w:szCs w:val="24"/>
      <w:lang w:eastAsia="en-US" w:bidi="en-US"/>
    </w:rPr>
  </w:style>
  <w:style w:type="character" w:customStyle="1" w:styleId="14">
    <w:name w:val="批注框文本 Char"/>
    <w:basedOn w:val="7"/>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an</Company>
  <Pages>5</Pages>
  <Words>1289</Words>
  <Characters>1310</Characters>
  <Lines>42</Lines>
  <Paragraphs>11</Paragraphs>
  <TotalTime>4</TotalTime>
  <ScaleCrop>false</ScaleCrop>
  <LinksUpToDate>false</LinksUpToDate>
  <CharactersWithSpaces>1320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lenovo</dc:creator>
  <cp:lastModifiedBy>晨风</cp:lastModifiedBy>
  <cp:lastPrinted>2020-09-19T02:08:00Z</cp:lastPrinted>
  <dcterms:modified xsi:type="dcterms:W3CDTF">2022-09-21T06:50:08Z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F98F13704A454B62BF9F88E1D6BF7551</vt:lpwstr>
  </property>
</Properties>
</file>